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40" w:after="160" w:line="259" w:lineRule="auto"/>
      </w:pPr>
      <w:r>
        <w:rPr>
          <w:rFonts w:ascii="Inter" w:hAnsi="Inter" w:eastAsia="Inter"/>
          <w:b/>
          <w:i w:val="0"/>
          <w:color w:val="287A73"/>
          <w:sz w:val="18"/>
        </w:rPr>
        <w:t>02 / AUSTAUSCHEN</w:t>
      </w:r>
    </w:p>
    <w:p>
      <w:pPr>
        <w:keepNext/>
        <w:spacing w:before="0" w:after="140" w:line="259" w:lineRule="auto"/>
      </w:pPr>
      <w:r>
        <w:rPr>
          <w:rFonts w:ascii="Inter" w:hAnsi="Inter" w:eastAsia="Inter"/>
          <w:b/>
          <w:i w:val="0"/>
          <w:color w:val="213365"/>
          <w:sz w:val="52"/>
        </w:rPr>
        <w:t>Kollegialer Austausch.</w:t>
      </w:r>
    </w:p>
    <w:p>
      <w:pPr>
        <w:keepNext w:val="0"/>
        <w:spacing w:before="0" w:after="320" w:line="259" w:lineRule="auto"/>
      </w:pPr>
      <w:r>
        <w:rPr>
          <w:rFonts w:ascii="Inter" w:hAnsi="Inter" w:eastAsia="Inter"/>
          <w:b w:val="0"/>
          <w:i w:val="0"/>
          <w:color w:val="52617A"/>
          <w:sz w:val="22"/>
        </w:rPr>
        <w:t>Mehrere Beobachtungen zusammenführen, wiederkehrende Muster erkennen und nächste Schritte gemeinsam planen.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3"/>
        <w:gridCol w:w="9751"/>
      </w:tblGrid>
      <w:tr>
        <w:tc>
          <w:tcPr>
            <w:tcW w:type="dxa" w:w="5100"/>
            <w:shd w:fill="22C34A" w:val="clear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5100"/>
            <w:shd w:fill="EAF7ED" w:val="clear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Next w:val="0"/>
              <w:spacing w:before="0" w:after="6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0"/>
              </w:rPr>
              <w:t>Mehrere Perspektiven nutzen</w:t>
            </w:r>
          </w:p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18"/>
              </w:rPr>
              <w:t>Eine einzelne Beobachtung zeigt nur einen Ausschnitt. Im kollegialen Austausch können wiederkehrende Interessen, Strategien und Themen sichtbar werden - ohne aus Einzelmomenten vorschnelle Eigenschaften abzuleiten.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01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Allgemeine Informationen</w:t>
            </w:r>
          </w:p>
        </w:tc>
      </w:tr>
    </w:tbl>
    <w:p>
      <w:pPr>
        <w:keepNext w:val="0"/>
        <w:spacing w:before="0" w:after="80" w:line="25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E1E8"/>
          <w:left w:val="single" w:sz="4" w:color="D9E1E8"/>
          <w:bottom w:val="single" w:sz="4" w:color="D9E1E8"/>
          <w:right w:val="single" w:sz="4" w:color="D9E1E8"/>
          <w:insideH w:val="single" w:sz="4" w:color="D9E1E8"/>
          <w:insideV w:val="single" w:sz="4" w:color="D9E1E8"/>
        </w:tblBorders>
      </w:tblPr>
      <w:tblGrid>
        <w:gridCol w:w="1928"/>
        <w:gridCol w:w="3005"/>
        <w:gridCol w:w="1928"/>
        <w:gridCol w:w="3005"/>
      </w:tblGrid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Name / Pseudonym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Alter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Datum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0F4F7" w:val="clea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17"/>
              </w:rPr>
              <w:t>Beteiligte Fachkräfte</w:t>
            </w:r>
          </w:p>
        </w:tc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20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02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Verschiedene Beobachtungen und Eindrücke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Welche Interessen, Themen oder Strategien tauchen wiederholt auf? Welche Beobachtungen ergänzen oder relativieren sich?</w:t>
      </w: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03</w:t>
            </w:r>
          </w:p>
        </w:tc>
        <w:tc>
          <w:tcPr>
            <w:tcW w:type="dxa" w:w="5100"/>
          </w:tcPr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4"/>
              </w:rPr>
              <w:t>Gemeinsame pädagogische Einordnung</w:t>
            </w:r>
          </w:p>
        </w:tc>
      </w:tr>
    </w:tbl>
    <w:p>
      <w:pPr>
        <w:keepNext w:val="0"/>
        <w:spacing w:before="40" w:after="120" w:line="259" w:lineRule="auto"/>
      </w:pPr>
      <w:r>
        <w:rPr>
          <w:rFonts w:ascii="Inter" w:hAnsi="Inter" w:eastAsia="Inter"/>
          <w:b w:val="0"/>
          <w:i w:val="0"/>
          <w:color w:val="52617A"/>
          <w:sz w:val="18"/>
        </w:rPr>
        <w:t>Was lässt sich auf Grundlage der Beobachtungen nachvollziehbar sagen? Wo bleiben Fragen offen?</w:t>
      </w: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pPr>
        <w:spacing w:before="0" w:after="80" w:line="240" w:lineRule="auto"/>
        <w:pBdr>
          <w:bottom w:val="single" w:sz="4" w:space="1" w:color="D9E1E8"/>
        </w:pBdr>
      </w:pPr>
    </w:p>
    <w:p>
      <w:r>
        <w:br w:type="page"/>
      </w:r>
    </w:p>
    <w:p>
      <w:pPr>
        <w:keepNext/>
        <w:spacing w:before="140" w:after="160" w:line="259" w:lineRule="auto"/>
      </w:pPr>
      <w:r>
        <w:rPr>
          <w:rFonts w:ascii="Inter" w:hAnsi="Inter" w:eastAsia="Inter"/>
          <w:b/>
          <w:i w:val="0"/>
          <w:color w:val="287A73"/>
          <w:sz w:val="18"/>
        </w:rPr>
        <w:t>02 / WEITERDENKEN</w:t>
      </w:r>
    </w:p>
    <w:p>
      <w:pPr>
        <w:keepNext/>
        <w:spacing w:before="0" w:after="140" w:line="259" w:lineRule="auto"/>
      </w:pPr>
      <w:r>
        <w:rPr>
          <w:rFonts w:ascii="Inter" w:hAnsi="Inter" w:eastAsia="Inter"/>
          <w:b/>
          <w:i w:val="0"/>
          <w:color w:val="213365"/>
          <w:sz w:val="52"/>
        </w:rPr>
        <w:t>Ideen für nächste Schritte.</w:t>
      </w:r>
    </w:p>
    <w:p>
      <w:pPr>
        <w:keepNext w:val="0"/>
        <w:spacing w:before="0" w:after="320" w:line="259" w:lineRule="auto"/>
      </w:pPr>
      <w:r>
        <w:rPr>
          <w:rFonts w:ascii="Inter" w:hAnsi="Inter" w:eastAsia="Inter"/>
          <w:b w:val="0"/>
          <w:i w:val="0"/>
          <w:color w:val="52617A"/>
          <w:sz w:val="22"/>
        </w:rPr>
        <w:t>An Interessen anknüpfen, Lerngelegenheiten eröffnen und weiter beobachten.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  <w:shd w:fill="F0F4F7" w:val="clea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keepNext w:val="0"/>
              <w:spacing w:before="0" w:after="0" w:line="259" w:lineRule="auto"/>
              <w:jc w:val="center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01</w:t>
            </w:r>
          </w:p>
        </w:tc>
        <w:tc>
          <w:tcPr>
            <w:tcW w:type="dxa" w:w="5100"/>
            <w:shd w:fill="F0F4F7" w:val="clea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1"/>
              </w:rPr>
              <w:t>Material &amp; Raum</w:t>
            </w:r>
          </w:p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 w:val="0"/>
                <w:i w:val="0"/>
                <w:color w:val="52617A"/>
                <w:sz w:val="17"/>
              </w:rPr>
              <w:t>Welche Materialien, Orte oder Zeitfenster könnten das aktuelle Interesse unterstützen?</w:t>
            </w: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  <w:shd w:fill="F0F4F7" w:val="clea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keepNext w:val="0"/>
              <w:spacing w:before="0" w:after="0" w:line="259" w:lineRule="auto"/>
              <w:jc w:val="center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02</w:t>
            </w:r>
          </w:p>
        </w:tc>
        <w:tc>
          <w:tcPr>
            <w:tcW w:type="dxa" w:w="5100"/>
            <w:shd w:fill="F0F4F7" w:val="clea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1"/>
              </w:rPr>
              <w:t>Fragen &amp; Impulse</w:t>
            </w:r>
          </w:p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 w:val="0"/>
                <w:i w:val="0"/>
                <w:color w:val="52617A"/>
                <w:sz w:val="17"/>
              </w:rPr>
              <w:t>Welche offenen Fragen oder kleinen Impulse könnten das Kind zum Weiterdenken anregen?</w:t>
            </w: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  <w:shd w:fill="F0F4F7" w:val="clea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keepNext w:val="0"/>
              <w:spacing w:before="0" w:after="0" w:line="259" w:lineRule="auto"/>
              <w:jc w:val="center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03</w:t>
            </w:r>
          </w:p>
        </w:tc>
        <w:tc>
          <w:tcPr>
            <w:tcW w:type="dxa" w:w="5100"/>
            <w:shd w:fill="F0F4F7" w:val="clea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1"/>
              </w:rPr>
              <w:t>Gemeinsames Lernen</w:t>
            </w:r>
          </w:p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 w:val="0"/>
                <w:i w:val="0"/>
                <w:color w:val="52617A"/>
                <w:sz w:val="17"/>
              </w:rPr>
              <w:t>Wie könnten andere Kinder oder Erwachsene beteiligt werden, ohne den Lernweg vorzugeben?</w:t>
            </w: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  <w:gridCol w:w="8844"/>
      </w:tblGrid>
      <w:tr>
        <w:tc>
          <w:tcPr>
            <w:tcW w:type="dxa" w:w="5100"/>
            <w:shd w:fill="F0F4F7" w:val="clea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keepNext w:val="0"/>
              <w:spacing w:before="0" w:after="0" w:line="259" w:lineRule="auto"/>
              <w:jc w:val="center"/>
            </w:pPr>
            <w:r>
              <w:rPr>
                <w:rFonts w:ascii="Inter" w:hAnsi="Inter" w:eastAsia="Inter"/>
                <w:b/>
                <w:i w:val="0"/>
                <w:color w:val="287A73"/>
                <w:sz w:val="32"/>
              </w:rPr>
              <w:t>04</w:t>
            </w:r>
          </w:p>
        </w:tc>
        <w:tc>
          <w:tcPr>
            <w:tcW w:type="dxa" w:w="5100"/>
            <w:shd w:fill="F0F4F7" w:val="clea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1"/>
              </w:rPr>
              <w:t>Weiter beobachten</w:t>
            </w:r>
          </w:p>
          <w:p>
            <w:pPr>
              <w:keepNext w:val="0"/>
              <w:spacing w:before="0" w:after="40" w:line="259" w:lineRule="auto"/>
            </w:pPr>
            <w:r>
              <w:rPr>
                <w:rFonts w:ascii="Inter" w:hAnsi="Inter" w:eastAsia="Inter"/>
                <w:b w:val="0"/>
                <w:i w:val="0"/>
                <w:color w:val="52617A"/>
                <w:sz w:val="17"/>
              </w:rPr>
              <w:t>Worauf möchten wir in den nächsten Situationen besonders achten?</w:t>
            </w: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  <w:p>
            <w:pPr>
              <w:keepNext w:val="0"/>
              <w:spacing w:before="0" w:after="60" w:line="259" w:lineRule="auto"/>
              <w:pBdr>
                <w:bottom w:val="single" w:sz="4" w:space="1" w:color="C9D4DF"/>
              </w:pBdr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3"/>
        <w:gridCol w:w="9751"/>
      </w:tblGrid>
      <w:tr>
        <w:tc>
          <w:tcPr>
            <w:tcW w:type="dxa" w:w="5100"/>
            <w:shd w:fill="22C34A" w:val="clear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5100"/>
            <w:shd w:fill="EAF7ED" w:val="clear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keepNext w:val="0"/>
              <w:spacing w:before="0" w:after="60" w:line="259" w:lineRule="auto"/>
            </w:pPr>
            <w:r>
              <w:rPr>
                <w:rFonts w:ascii="Inter" w:hAnsi="Inter" w:eastAsia="Inter"/>
                <w:b/>
                <w:i w:val="0"/>
                <w:color w:val="213365"/>
                <w:sz w:val="20"/>
              </w:rPr>
              <w:t>Vereinbarung für den nächsten Schritt</w:t>
            </w:r>
          </w:p>
          <w:p>
            <w:pPr>
              <w:keepNext w:val="0"/>
              <w:spacing w:before="0" w:after="0" w:line="259" w:lineRule="auto"/>
            </w:pPr>
            <w:r>
              <w:rPr>
                <w:rFonts w:ascii="Inter" w:hAnsi="Inter" w:eastAsia="Inter"/>
                <w:b w:val="0"/>
                <w:i w:val="0"/>
                <w:color w:val="26364F"/>
                <w:sz w:val="18"/>
              </w:rPr>
              <w:t>Was setzen wir konkret um - und wann schauen wir erneut auf die Beobachtungen?</w:t>
            </w:r>
          </w:p>
        </w:tc>
      </w:tr>
    </w:tbl>
    <w:p>
      <w:pPr>
        <w:spacing w:after="40"/>
      </w:pPr>
    </w:p>
    <w:p>
      <w:pPr>
        <w:spacing w:before="0" w:after="60" w:line="240" w:lineRule="auto"/>
        <w:pBdr>
          <w:bottom w:val="single" w:sz="4" w:space="1" w:color="D9E1E8"/>
        </w:pBdr>
      </w:pPr>
    </w:p>
    <w:p>
      <w:pPr>
        <w:spacing w:before="0" w:after="60" w:line="240" w:lineRule="auto"/>
        <w:pBdr>
          <w:bottom w:val="single" w:sz="4" w:space="1" w:color="D9E1E8"/>
        </w:pBdr>
      </w:pPr>
    </w:p>
    <w:p>
      <w:pPr>
        <w:spacing w:before="0" w:after="60" w:line="240" w:lineRule="auto"/>
        <w:pBdr>
          <w:bottom w:val="single" w:sz="4" w:space="1" w:color="D9E1E8"/>
        </w:pBd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keepNext w:val="0"/>
      <w:spacing w:before="0" w:after="40" w:line="259" w:lineRule="auto"/>
      <w:pBdr>
        <w:bottom w:val="single" w:sz="5" w:space="1" w:color="D9E1E8"/>
      </w:pBdr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288"/>
      <w:gridCol w:w="3288"/>
      <w:gridCol w:w="3288"/>
    </w:tblGrid>
    <w:tr>
      <w:tc>
        <w:tcPr>
          <w:tcW w:type="dxa" w:w="3288"/>
        </w:tcPr>
        <w:p>
          <w:pPr>
            <w:keepNext w:val="0"/>
            <w:spacing w:before="0" w:after="0" w:line="259" w:lineRule="auto"/>
            <w:jc w:val="left"/>
          </w:pPr>
          <w:r>
            <w:rPr>
              <w:rFonts w:ascii="Inter" w:hAnsi="Inter" w:eastAsia="Inter"/>
              <w:b w:val="0"/>
              <w:i w:val="0"/>
              <w:color w:val="52617A"/>
              <w:sz w:val="16"/>
            </w:rPr>
            <w:t>KITA DIGITAL · Sebastian Götz</w:t>
          </w:r>
        </w:p>
      </w:tc>
      <w:tc>
        <w:tcPr>
          <w:tcW w:type="dxa" w:w="3288"/>
        </w:tcPr>
        <w:p>
          <w:pPr>
            <w:keepNext w:val="0"/>
            <w:spacing w:before="0" w:after="0" w:line="259" w:lineRule="auto"/>
            <w:jc w:val="center"/>
          </w:pPr>
          <w:r>
            <w:rPr>
              <w:rFonts w:ascii="Inter" w:hAnsi="Inter" w:eastAsia="Inter"/>
              <w:b/>
              <w:i w:val="0"/>
              <w:color w:val="213365"/>
              <w:sz w:val="16"/>
            </w:rPr>
            <w:t>www.ki-insel.de</w:t>
          </w:r>
        </w:p>
      </w:tc>
      <w:tc>
        <w:tcPr>
          <w:tcW w:type="dxa" w:w="3288"/>
        </w:tcPr>
        <w:p>
          <w:pPr>
            <w:keepNext w:val="0"/>
            <w:spacing w:before="0" w:after="0" w:line="259" w:lineRule="auto"/>
            <w:jc w:val="right"/>
          </w:pPr>
          <w:r>
            <w:rPr>
              <w:rFonts w:ascii="Inter" w:hAnsi="Inter" w:eastAsia="Inter"/>
              <w:b/>
              <w:color w:val="213365"/>
              <w:sz w:val="17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Inter" w:hAnsi="Inter" w:eastAsia="Inter"/>
              <w:b/>
              <w:i w:val="0"/>
              <w:color w:val="213365"/>
              <w:sz w:val="17"/>
            </w:rPr>
            <w:t xml:space="preserve"> / </w:t>
          </w:r>
          <w:r>
            <w:rPr>
              <w:rFonts w:ascii="Inter" w:hAnsi="Inter" w:eastAsia="Inter"/>
              <w:b/>
              <w:color w:val="213365"/>
              <w:sz w:val="17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5"/>
      <w:gridCol w:w="5329"/>
    </w:tblGrid>
    <w:tr>
      <w:tc>
        <w:tcPr>
          <w:tcW w:type="dxa" w:w="4932"/>
        </w:tcPr>
        <w:p>
          <w:pPr>
            <w:keepNext w:val="0"/>
            <w:spacing w:before="0" w:after="0" w:line="259" w:lineRule="auto"/>
            <w:jc w:val="left"/>
          </w:pPr>
          <w:r>
            <w:rPr>
              <w:rFonts w:ascii="Inter" w:hAnsi="Inter" w:eastAsia="Inter"/>
              <w:b/>
              <w:i w:val="0"/>
              <w:color w:val="213365"/>
              <w:sz w:val="17"/>
            </w:rPr>
            <w:t>KITA DIGITAL</w:t>
          </w:r>
        </w:p>
      </w:tc>
      <w:tc>
        <w:tcPr>
          <w:tcW w:type="dxa" w:w="4932"/>
        </w:tcPr>
        <w:p>
          <w:pPr>
            <w:keepNext w:val="0"/>
            <w:spacing w:before="0" w:after="0" w:line="259" w:lineRule="auto"/>
            <w:jc w:val="right"/>
          </w:pPr>
          <w:r>
            <w:rPr>
              <w:rFonts w:ascii="Inter" w:hAnsi="Inter" w:eastAsia="Inter"/>
              <w:b w:val="0"/>
              <w:i w:val="0"/>
              <w:color w:val="52617A"/>
              <w:sz w:val="17"/>
            </w:rPr>
            <w:t>Praxisvorlage / Lerngeschichten</w:t>
          </w:r>
        </w:p>
      </w:tc>
    </w:tr>
  </w:tbl>
  <w:p>
    <w:pPr>
      <w:keepNext w:val="0"/>
      <w:spacing w:before="20" w:after="0" w:line="259" w:lineRule="auto"/>
      <w:pBdr>
        <w:bottom w:val="single" w:sz="5" w:space="1" w:color="D9E1E8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52617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